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8A76D3" w14:paraId="5012529B" w14:textId="77777777" w:rsidTr="00C013E2">
        <w:tc>
          <w:tcPr>
            <w:tcW w:w="5000" w:type="pct"/>
            <w:gridSpan w:val="3"/>
          </w:tcPr>
          <w:p w14:paraId="190775DD" w14:textId="77777777" w:rsidR="008A76D3" w:rsidRDefault="008A76D3" w:rsidP="00C013E2">
            <w:pPr>
              <w:jc w:val="center"/>
              <w:rPr>
                <w:b/>
                <w:spacing w:val="-2"/>
                <w:sz w:val="25"/>
              </w:rPr>
            </w:pPr>
            <w:r>
              <w:rPr>
                <w:b/>
                <w:spacing w:val="-2"/>
                <w:sz w:val="25"/>
              </w:rPr>
              <w:t>LABORATORIO DI ACCOGLIENZA TURISTICA</w:t>
            </w:r>
          </w:p>
          <w:p w14:paraId="4E414D4A" w14:textId="77777777" w:rsidR="008A76D3" w:rsidRDefault="008A76D3" w:rsidP="00C013E2">
            <w:pPr>
              <w:jc w:val="center"/>
              <w:rPr>
                <w:b/>
                <w:spacing w:val="-2"/>
                <w:sz w:val="25"/>
              </w:rPr>
            </w:pPr>
          </w:p>
          <w:p w14:paraId="3A3EFDF4" w14:textId="77777777" w:rsidR="008A76D3" w:rsidRDefault="008A76D3" w:rsidP="00C013E2">
            <w:pPr>
              <w:jc w:val="center"/>
            </w:pPr>
            <w:r>
              <w:rPr>
                <w:b/>
                <w:spacing w:val="-2"/>
                <w:sz w:val="25"/>
              </w:rPr>
              <w:t>OBIETTIVI MINIMI CLASSE SECONDA</w:t>
            </w:r>
          </w:p>
          <w:p w14:paraId="1DA14CF7" w14:textId="77777777" w:rsidR="008A76D3" w:rsidRDefault="008A76D3" w:rsidP="00C013E2"/>
        </w:tc>
      </w:tr>
      <w:tr w:rsidR="008A76D3" w14:paraId="22DDD504" w14:textId="77777777" w:rsidTr="00C013E2">
        <w:tc>
          <w:tcPr>
            <w:tcW w:w="1667" w:type="pct"/>
          </w:tcPr>
          <w:p w14:paraId="69F7EAF5" w14:textId="77777777" w:rsidR="008A76D3" w:rsidRDefault="008A76D3" w:rsidP="00C013E2">
            <w:pPr>
              <w:jc w:val="center"/>
              <w:rPr>
                <w:b/>
                <w:spacing w:val="-2"/>
                <w:sz w:val="25"/>
              </w:rPr>
            </w:pPr>
            <w:r>
              <w:rPr>
                <w:b/>
                <w:spacing w:val="-2"/>
                <w:sz w:val="25"/>
              </w:rPr>
              <w:t>Conoscenze</w:t>
            </w:r>
          </w:p>
        </w:tc>
        <w:tc>
          <w:tcPr>
            <w:tcW w:w="1667" w:type="pct"/>
          </w:tcPr>
          <w:p w14:paraId="66FDB35C" w14:textId="77777777" w:rsidR="008A76D3" w:rsidRDefault="008A76D3" w:rsidP="00C013E2">
            <w:pPr>
              <w:jc w:val="center"/>
              <w:rPr>
                <w:b/>
                <w:spacing w:val="-2"/>
                <w:sz w:val="25"/>
              </w:rPr>
            </w:pPr>
            <w:r>
              <w:rPr>
                <w:b/>
                <w:spacing w:val="-2"/>
                <w:sz w:val="25"/>
              </w:rPr>
              <w:t>Abilità</w:t>
            </w:r>
          </w:p>
        </w:tc>
        <w:tc>
          <w:tcPr>
            <w:tcW w:w="1666" w:type="pct"/>
          </w:tcPr>
          <w:p w14:paraId="2DD6C204" w14:textId="77777777" w:rsidR="008A76D3" w:rsidRDefault="008A76D3" w:rsidP="00C013E2">
            <w:pPr>
              <w:jc w:val="center"/>
              <w:rPr>
                <w:b/>
                <w:spacing w:val="-2"/>
                <w:sz w:val="25"/>
              </w:rPr>
            </w:pPr>
            <w:r>
              <w:rPr>
                <w:b/>
                <w:spacing w:val="-2"/>
                <w:sz w:val="25"/>
              </w:rPr>
              <w:t>Competenze</w:t>
            </w:r>
          </w:p>
        </w:tc>
      </w:tr>
      <w:tr w:rsidR="008A76D3" w14:paraId="5A0A2085" w14:textId="77777777" w:rsidTr="00C013E2">
        <w:tc>
          <w:tcPr>
            <w:tcW w:w="1667" w:type="pct"/>
          </w:tcPr>
          <w:p w14:paraId="3341D1D2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  <w:r w:rsidRPr="00234ED9">
              <w:rPr>
                <w:bCs/>
                <w:spacing w:val="-2"/>
                <w:sz w:val="25"/>
                <w:lang w:bidi="it-IT"/>
              </w:rPr>
              <w:t>La comunicazione di base durante la fase ante o di prenotazione.</w:t>
            </w:r>
          </w:p>
          <w:p w14:paraId="7F1B372F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</w:p>
          <w:p w14:paraId="5220F45E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  <w:r w:rsidRPr="002F26F5">
              <w:rPr>
                <w:bCs/>
                <w:spacing w:val="-2"/>
                <w:sz w:val="25"/>
                <w:lang w:bidi="it-IT"/>
              </w:rPr>
              <w:t>La fase in. L’arrivo del cliente</w:t>
            </w:r>
            <w:r>
              <w:rPr>
                <w:bCs/>
                <w:spacing w:val="-2"/>
                <w:sz w:val="25"/>
                <w:lang w:bidi="it-IT"/>
              </w:rPr>
              <w:t>.</w:t>
            </w:r>
          </w:p>
          <w:p w14:paraId="554BA25F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</w:p>
          <w:p w14:paraId="51A109C0" w14:textId="77777777" w:rsidR="008A76D3" w:rsidRPr="002F26F5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  <w:r w:rsidRPr="002F26F5">
              <w:rPr>
                <w:bCs/>
                <w:spacing w:val="-2"/>
                <w:sz w:val="25"/>
                <w:lang w:bidi="it-IT"/>
              </w:rPr>
              <w:t>La fase check out.</w:t>
            </w:r>
          </w:p>
          <w:p w14:paraId="29FFF287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</w:p>
          <w:p w14:paraId="5B07EE79" w14:textId="77777777" w:rsidR="008A76D3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</w:p>
          <w:p w14:paraId="5A547218" w14:textId="77777777" w:rsidR="008A76D3" w:rsidRPr="00234ED9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</w:p>
          <w:p w14:paraId="74A9F043" w14:textId="77777777" w:rsidR="008A76D3" w:rsidRDefault="008A76D3" w:rsidP="00C013E2">
            <w:pPr>
              <w:rPr>
                <w:b/>
                <w:spacing w:val="-2"/>
                <w:sz w:val="25"/>
              </w:rPr>
            </w:pPr>
          </w:p>
        </w:tc>
        <w:tc>
          <w:tcPr>
            <w:tcW w:w="1667" w:type="pct"/>
          </w:tcPr>
          <w:p w14:paraId="3673299C" w14:textId="77777777" w:rsidR="008A76D3" w:rsidRPr="002F26F5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  <w:r>
              <w:rPr>
                <w:bCs/>
                <w:spacing w:val="-2"/>
                <w:sz w:val="25"/>
                <w:lang w:bidi="it-IT"/>
              </w:rPr>
              <w:t>Saper utilizzare</w:t>
            </w:r>
            <w:r w:rsidRPr="002F26F5">
              <w:rPr>
                <w:bCs/>
                <w:spacing w:val="-2"/>
                <w:sz w:val="25"/>
                <w:lang w:bidi="it-IT"/>
              </w:rPr>
              <w:t xml:space="preserve"> tecniche di base e formule standard per la</w:t>
            </w:r>
          </w:p>
          <w:p w14:paraId="7B101578" w14:textId="77777777" w:rsidR="008A76D3" w:rsidRPr="002F26F5" w:rsidRDefault="008A76D3" w:rsidP="00C013E2">
            <w:pPr>
              <w:rPr>
                <w:bCs/>
                <w:spacing w:val="-2"/>
                <w:sz w:val="25"/>
                <w:lang w:bidi="it-IT"/>
              </w:rPr>
            </w:pPr>
            <w:r w:rsidRPr="002F26F5">
              <w:rPr>
                <w:bCs/>
                <w:spacing w:val="-2"/>
                <w:sz w:val="25"/>
                <w:lang w:bidi="it-IT"/>
              </w:rPr>
              <w:t>comunicazione professionale con il cliente.</w:t>
            </w:r>
          </w:p>
          <w:p w14:paraId="33148798" w14:textId="77777777" w:rsidR="008A76D3" w:rsidRDefault="008A76D3" w:rsidP="00C013E2">
            <w:pPr>
              <w:rPr>
                <w:b/>
                <w:spacing w:val="-2"/>
                <w:sz w:val="25"/>
              </w:rPr>
            </w:pPr>
          </w:p>
          <w:p w14:paraId="35A29462" w14:textId="77777777" w:rsidR="008A76D3" w:rsidRPr="002F26F5" w:rsidRDefault="008A76D3" w:rsidP="00C013E2">
            <w:pPr>
              <w:rPr>
                <w:bCs/>
                <w:spacing w:val="-2"/>
                <w:sz w:val="25"/>
              </w:rPr>
            </w:pPr>
            <w:r>
              <w:rPr>
                <w:bCs/>
                <w:spacing w:val="-2"/>
                <w:sz w:val="25"/>
                <w:lang w:bidi="it-IT"/>
              </w:rPr>
              <w:t>Sapersi orientare nell’utilizzo del</w:t>
            </w:r>
            <w:r w:rsidRPr="002F26F5">
              <w:rPr>
                <w:bCs/>
                <w:spacing w:val="-2"/>
                <w:sz w:val="25"/>
                <w:lang w:bidi="it-IT"/>
              </w:rPr>
              <w:t>le regole della comunicazione</w:t>
            </w:r>
            <w:r>
              <w:rPr>
                <w:bCs/>
                <w:spacing w:val="-2"/>
                <w:sz w:val="25"/>
                <w:lang w:bidi="it-IT"/>
              </w:rPr>
              <w:t xml:space="preserve">, </w:t>
            </w:r>
            <w:r w:rsidRPr="002F26F5">
              <w:rPr>
                <w:bCs/>
                <w:spacing w:val="-2"/>
                <w:sz w:val="25"/>
                <w:lang w:bidi="it-IT"/>
              </w:rPr>
              <w:t>nei contesti professionali di riferimento.</w:t>
            </w:r>
          </w:p>
        </w:tc>
        <w:tc>
          <w:tcPr>
            <w:tcW w:w="1666" w:type="pct"/>
          </w:tcPr>
          <w:p w14:paraId="392335FD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Applicare tecniche di</w:t>
            </w:r>
          </w:p>
          <w:p w14:paraId="16DB0234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organizzazione e</w:t>
            </w:r>
          </w:p>
          <w:p w14:paraId="6AF04FD1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commercializzazione dei</w:t>
            </w:r>
          </w:p>
          <w:p w14:paraId="2032F758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servizi relativi al settore</w:t>
            </w:r>
          </w:p>
          <w:p w14:paraId="5E47AC88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turistico-alberghiera,</w:t>
            </w:r>
          </w:p>
          <w:p w14:paraId="7EB2B4C5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secondo criteri</w:t>
            </w:r>
          </w:p>
          <w:p w14:paraId="28CDE1D4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prestabiliti, in contesti</w:t>
            </w:r>
          </w:p>
          <w:p w14:paraId="7D5D4A05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strutturati e sotto diretta</w:t>
            </w:r>
          </w:p>
          <w:p w14:paraId="7EED9102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  <w:r w:rsidRPr="000A5DC0">
              <w:rPr>
                <w:rFonts w:eastAsiaTheme="minorHAnsi"/>
                <w:sz w:val="25"/>
                <w:szCs w:val="25"/>
              </w:rPr>
              <w:t>supervisione.</w:t>
            </w:r>
          </w:p>
          <w:p w14:paraId="7AE0E8D8" w14:textId="77777777" w:rsidR="008A76D3" w:rsidRPr="000A5DC0" w:rsidRDefault="008A76D3" w:rsidP="00C013E2">
            <w:pPr>
              <w:rPr>
                <w:rFonts w:eastAsiaTheme="minorHAnsi"/>
                <w:sz w:val="25"/>
                <w:szCs w:val="25"/>
              </w:rPr>
            </w:pPr>
          </w:p>
          <w:p w14:paraId="21518EB2" w14:textId="77777777" w:rsidR="008A76D3" w:rsidRPr="000A5DC0" w:rsidRDefault="008A76D3" w:rsidP="00C013E2">
            <w:pPr>
              <w:widowControl/>
              <w:adjustRightInd w:val="0"/>
              <w:rPr>
                <w:rFonts w:eastAsiaTheme="minorHAnsi"/>
                <w:sz w:val="25"/>
                <w:szCs w:val="25"/>
                <w14:ligatures w14:val="standardContextual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Applicare procedure di</w:t>
            </w:r>
          </w:p>
          <w:p w14:paraId="50DC0F9D" w14:textId="77777777" w:rsidR="008A76D3" w:rsidRPr="000A5DC0" w:rsidRDefault="008A76D3" w:rsidP="00C013E2">
            <w:pPr>
              <w:widowControl/>
              <w:adjustRightInd w:val="0"/>
              <w:rPr>
                <w:rFonts w:eastAsiaTheme="minorHAnsi"/>
                <w:sz w:val="25"/>
                <w:szCs w:val="25"/>
                <w14:ligatures w14:val="standardContextual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base per la</w:t>
            </w:r>
          </w:p>
          <w:p w14:paraId="254FE8C8" w14:textId="77777777" w:rsidR="008A76D3" w:rsidRPr="000A5DC0" w:rsidRDefault="008A76D3" w:rsidP="00C013E2">
            <w:pPr>
              <w:widowControl/>
              <w:adjustRightInd w:val="0"/>
              <w:rPr>
                <w:rFonts w:eastAsiaTheme="minorHAnsi"/>
                <w:sz w:val="25"/>
                <w:szCs w:val="25"/>
                <w14:ligatures w14:val="standardContextual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predisposizione di</w:t>
            </w:r>
          </w:p>
          <w:p w14:paraId="05A205F8" w14:textId="77777777" w:rsidR="008A76D3" w:rsidRPr="000A5DC0" w:rsidRDefault="008A76D3" w:rsidP="00C013E2">
            <w:pPr>
              <w:widowControl/>
              <w:adjustRightInd w:val="0"/>
              <w:rPr>
                <w:rFonts w:eastAsiaTheme="minorHAnsi"/>
                <w:sz w:val="25"/>
                <w:szCs w:val="25"/>
                <w14:ligatures w14:val="standardContextual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prodotti e servizi in</w:t>
            </w:r>
          </w:p>
          <w:p w14:paraId="33CBAF3F" w14:textId="77777777" w:rsidR="008A76D3" w:rsidRPr="000A5DC0" w:rsidRDefault="008A76D3" w:rsidP="00C013E2">
            <w:pPr>
              <w:widowControl/>
              <w:adjustRightInd w:val="0"/>
              <w:rPr>
                <w:rFonts w:eastAsiaTheme="minorHAnsi"/>
                <w:sz w:val="25"/>
                <w:szCs w:val="25"/>
                <w14:ligatures w14:val="standardContextual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contesti strutturati e sotto</w:t>
            </w:r>
          </w:p>
          <w:p w14:paraId="280EC78C" w14:textId="77777777" w:rsidR="008A76D3" w:rsidRDefault="008A76D3" w:rsidP="00C013E2">
            <w:pPr>
              <w:rPr>
                <w:b/>
                <w:spacing w:val="-2"/>
                <w:sz w:val="25"/>
              </w:rPr>
            </w:pPr>
            <w:r w:rsidRPr="000A5DC0">
              <w:rPr>
                <w:rFonts w:eastAsiaTheme="minorHAnsi"/>
                <w:sz w:val="25"/>
                <w:szCs w:val="25"/>
                <w14:ligatures w14:val="standardContextual"/>
              </w:rPr>
              <w:t>supervisione.</w:t>
            </w:r>
          </w:p>
        </w:tc>
      </w:tr>
    </w:tbl>
    <w:p w14:paraId="518E8647" w14:textId="77777777" w:rsidR="008A76D3" w:rsidRDefault="008A76D3" w:rsidP="008A76D3"/>
    <w:p w14:paraId="26E3E0B6" w14:textId="77777777" w:rsidR="00654500" w:rsidRDefault="00654500"/>
    <w:sectPr w:rsidR="00654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D3"/>
    <w:rsid w:val="00654500"/>
    <w:rsid w:val="00663716"/>
    <w:rsid w:val="008A76D3"/>
    <w:rsid w:val="00C57579"/>
    <w:rsid w:val="00D83C93"/>
    <w:rsid w:val="00F1139B"/>
    <w:rsid w:val="00FD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DF42"/>
  <w15:chartTrackingRefBased/>
  <w15:docId w15:val="{8EF21793-15C8-4C46-A4D0-4958BC58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7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76D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76D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76D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76D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A76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76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76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76D3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76D3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76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76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76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76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76D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A7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76D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7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A76D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76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A76D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A76D3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76D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76D3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A76D3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8A7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Melchiorre Marrazzo</dc:creator>
  <cp:keywords/>
  <dc:description/>
  <cp:lastModifiedBy>Melchiorre Marrazzo</cp:lastModifiedBy>
  <cp:revision>1</cp:revision>
  <dcterms:created xsi:type="dcterms:W3CDTF">2025-09-12T06:52:00Z</dcterms:created>
  <dcterms:modified xsi:type="dcterms:W3CDTF">2025-09-12T06:53:00Z</dcterms:modified>
</cp:coreProperties>
</file>